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E90B" w14:textId="2C75A7D0" w:rsidR="00D07C27" w:rsidRPr="00D57B30" w:rsidRDefault="00D101DC" w:rsidP="00F517D9">
      <w:pPr>
        <w:pStyle w:val="Heading1"/>
        <w:autoSpaceDE w:val="0"/>
        <w:autoSpaceDN w:val="0"/>
        <w:ind w:right="545"/>
        <w:rPr>
          <w:color w:val="1F4E79" w:themeColor="accent1" w:themeShade="80"/>
        </w:rPr>
      </w:pPr>
      <w:r>
        <w:rPr>
          <w:rFonts w:hint="eastAsia"/>
          <w:color w:val="1F4E79" w:themeColor="accent1" w:themeShade="80"/>
        </w:rPr>
        <w:t>议程项目</w:t>
      </w:r>
      <w:r>
        <w:rPr>
          <w:rFonts w:hint="eastAsia"/>
          <w:color w:val="1F4E79" w:themeColor="accent1" w:themeShade="80"/>
        </w:rPr>
        <w:t xml:space="preserve"> 19</w:t>
      </w:r>
      <w:r>
        <w:rPr>
          <w:rFonts w:hint="eastAsia"/>
          <w:color w:val="1F4E79" w:themeColor="accent1" w:themeShade="80"/>
        </w:rPr>
        <w:t>：公报起草</w:t>
      </w:r>
    </w:p>
    <w:p w14:paraId="4C084511" w14:textId="7F2FBCD2" w:rsidR="00F21D6A" w:rsidRDefault="00D57B30" w:rsidP="00F517D9">
      <w:pPr>
        <w:pStyle w:val="Heading2"/>
        <w:autoSpaceDE w:val="0"/>
        <w:autoSpaceDN w:val="0"/>
      </w:pPr>
      <w:r>
        <w:rPr>
          <w:rFonts w:hint="eastAsia"/>
        </w:rPr>
        <w:t>议题</w:t>
      </w:r>
    </w:p>
    <w:p w14:paraId="12D6F863" w14:textId="1608E110" w:rsidR="00EC3C37" w:rsidRDefault="00EE2665" w:rsidP="00F517D9">
      <w:pPr>
        <w:pStyle w:val="BodyText"/>
        <w:numPr>
          <w:ilvl w:val="0"/>
          <w:numId w:val="16"/>
        </w:numPr>
        <w:autoSpaceDE w:val="0"/>
        <w:autoSpaceDN w:val="0"/>
        <w:ind w:right="545"/>
      </w:pP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公报的目的</w:t>
      </w:r>
    </w:p>
    <w:p w14:paraId="46BB2F0D" w14:textId="6E197682" w:rsidR="00EE2665" w:rsidRDefault="00EE2665" w:rsidP="00F517D9">
      <w:pPr>
        <w:pStyle w:val="BodyText"/>
        <w:numPr>
          <w:ilvl w:val="0"/>
          <w:numId w:val="16"/>
        </w:numPr>
        <w:autoSpaceDE w:val="0"/>
        <w:autoSpaceDN w:val="0"/>
        <w:ind w:right="545"/>
      </w:pPr>
      <w:r>
        <w:rPr>
          <w:rFonts w:hint="eastAsia"/>
        </w:rPr>
        <w:t>公报起草注意事项</w:t>
      </w:r>
    </w:p>
    <w:p w14:paraId="3D945637" w14:textId="6D3DDB0B" w:rsidR="00EE2665" w:rsidRDefault="00EE2665" w:rsidP="00F517D9">
      <w:pPr>
        <w:pStyle w:val="Heading2"/>
        <w:autoSpaceDE w:val="0"/>
        <w:autoSpaceDN w:val="0"/>
      </w:pP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公报的目的</w:t>
      </w:r>
    </w:p>
    <w:p w14:paraId="78A85D8A" w14:textId="31A94EC0" w:rsidR="00EE2665" w:rsidRDefault="00EE2665" w:rsidP="00F517D9">
      <w:pPr>
        <w:pStyle w:val="BodyText"/>
        <w:autoSpaceDE w:val="0"/>
        <w:autoSpaceDN w:val="0"/>
        <w:ind w:right="545"/>
      </w:pP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运营</w:t>
      </w:r>
      <w:proofErr w:type="gramStart"/>
      <w:r>
        <w:rPr>
          <w:rFonts w:hint="eastAsia"/>
        </w:rPr>
        <w:t>原则第</w:t>
      </w:r>
      <w:proofErr w:type="gramEnd"/>
      <w:r>
        <w:rPr>
          <w:rFonts w:hint="eastAsia"/>
        </w:rPr>
        <w:t xml:space="preserve"> 51 </w:t>
      </w:r>
      <w:r>
        <w:rPr>
          <w:rFonts w:hint="eastAsia"/>
        </w:rPr>
        <w:t>条指出：“举行非公开会议后，主席可向媒体发布公报，不过此类公报要预先经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批准。”</w:t>
      </w:r>
    </w:p>
    <w:p w14:paraId="473EEC99" w14:textId="3D253DA5" w:rsidR="00EE2665" w:rsidRDefault="00EE2665" w:rsidP="00F517D9">
      <w:pPr>
        <w:pStyle w:val="BodyText"/>
        <w:autoSpaceDE w:val="0"/>
        <w:autoSpaceDN w:val="0"/>
        <w:ind w:right="545"/>
      </w:pPr>
      <w:r>
        <w:rPr>
          <w:rFonts w:hint="eastAsia"/>
        </w:rPr>
        <w:t>实际上，公报已成为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向董事会提建议的主要方式（但不是唯一方式），</w:t>
      </w:r>
      <w:bookmarkStart w:id="0" w:name="_GoBack"/>
      <w:bookmarkEnd w:id="0"/>
      <w:r>
        <w:rPr>
          <w:rFonts w:hint="eastAsia"/>
        </w:rPr>
        <w:t>以及向大众公开其他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活动的方式。而且，它实际上是经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在本次起草会议上达成共识后，由</w:t>
      </w:r>
      <w:r>
        <w:rPr>
          <w:rFonts w:hint="eastAsia"/>
        </w:rPr>
        <w:t xml:space="preserve"> ICANN </w:t>
      </w:r>
      <w:r>
        <w:rPr>
          <w:rFonts w:hint="eastAsia"/>
        </w:rPr>
        <w:t>发布和</w:t>
      </w:r>
      <w:r w:rsidR="00BC1F15">
        <w:br/>
      </w:r>
      <w:r>
        <w:rPr>
          <w:rFonts w:hint="eastAsia"/>
        </w:rPr>
        <w:t>宣布的。</w:t>
      </w:r>
    </w:p>
    <w:p w14:paraId="6F93F1D6" w14:textId="712DF891" w:rsidR="00EE2665" w:rsidRDefault="00EE2665" w:rsidP="00F517D9">
      <w:pPr>
        <w:pStyle w:val="Heading2"/>
        <w:autoSpaceDE w:val="0"/>
        <w:autoSpaceDN w:val="0"/>
      </w:pPr>
      <w:r>
        <w:rPr>
          <w:rFonts w:hint="eastAsia"/>
        </w:rPr>
        <w:t>公报起草注意事项</w:t>
      </w:r>
    </w:p>
    <w:p w14:paraId="7EBC41E3" w14:textId="495E2B30" w:rsidR="00EE2665" w:rsidRDefault="00D17FF3" w:rsidP="00F517D9">
      <w:pPr>
        <w:pStyle w:val="BodyText"/>
        <w:numPr>
          <w:ilvl w:val="0"/>
          <w:numId w:val="18"/>
        </w:numPr>
        <w:autoSpaceDE w:val="0"/>
        <w:autoSpaceDN w:val="0"/>
        <w:ind w:right="545"/>
      </w:pPr>
      <w:r>
        <w:rPr>
          <w:rFonts w:hint="eastAsia"/>
        </w:rPr>
        <w:t>共识是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运营的基础，因此，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成员通常需要就公报全文达成共识。</w:t>
      </w:r>
    </w:p>
    <w:p w14:paraId="6725128B" w14:textId="1518C232" w:rsidR="00D17FF3" w:rsidRDefault="00D17FF3" w:rsidP="00F517D9">
      <w:pPr>
        <w:pStyle w:val="BodyText"/>
        <w:numPr>
          <w:ilvl w:val="0"/>
          <w:numId w:val="18"/>
        </w:numPr>
        <w:autoSpaceDE w:val="0"/>
        <w:autoSpaceDN w:val="0"/>
        <w:ind w:right="545"/>
      </w:pPr>
      <w:r>
        <w:rPr>
          <w:rFonts w:hint="eastAsia"/>
        </w:rPr>
        <w:t xml:space="preserve">ICANN </w:t>
      </w:r>
      <w:r>
        <w:rPr>
          <w:rFonts w:hint="eastAsia"/>
        </w:rPr>
        <w:t>章程中涉及“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共识性建议”的内容仅针对公报中经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确定为共识性建议的</w:t>
      </w:r>
      <w:r w:rsidR="00F517D9">
        <w:br/>
      </w:r>
      <w:r>
        <w:rPr>
          <w:rFonts w:hint="eastAsia"/>
        </w:rPr>
        <w:t>部分。</w:t>
      </w:r>
    </w:p>
    <w:p w14:paraId="463DBBE5" w14:textId="0C1DCB7E" w:rsidR="00D17FF3" w:rsidRDefault="00D17FF3" w:rsidP="00F517D9">
      <w:pPr>
        <w:pStyle w:val="BodyText"/>
        <w:numPr>
          <w:ilvl w:val="0"/>
          <w:numId w:val="18"/>
        </w:numPr>
        <w:autoSpaceDE w:val="0"/>
        <w:autoSpaceDN w:val="0"/>
        <w:ind w:right="545"/>
      </w:pPr>
      <w:r>
        <w:rPr>
          <w:rFonts w:hint="eastAsia"/>
        </w:rPr>
        <w:t>公报中涉及非共识性建议事务的部分通常被视为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希望向大众公开的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观点陈述。最近，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开始在公报中纳入名为“以往建议跟进”的章节，将它希望董事会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回应的事务写入其中。</w:t>
      </w:r>
    </w:p>
    <w:p w14:paraId="1135BC31" w14:textId="582D58C7" w:rsidR="00D17FF3" w:rsidRDefault="00776376" w:rsidP="00F517D9">
      <w:pPr>
        <w:pStyle w:val="BodyText"/>
        <w:numPr>
          <w:ilvl w:val="0"/>
          <w:numId w:val="18"/>
        </w:numPr>
        <w:autoSpaceDE w:val="0"/>
        <w:autoSpaceDN w:val="0"/>
        <w:ind w:right="545"/>
      </w:pPr>
      <w:r>
        <w:rPr>
          <w:rFonts w:hint="eastAsia"/>
        </w:rPr>
        <w:t>章程规定，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>（及其他咨询委员会）向董事会提供的建议必须“以清晰明确的书面声明形式传达，且声明中应包括此等建议的理由。”（第</w:t>
      </w:r>
      <w:r>
        <w:rPr>
          <w:rFonts w:hint="eastAsia"/>
        </w:rPr>
        <w:t xml:space="preserve"> 12.3 </w:t>
      </w:r>
      <w:r>
        <w:rPr>
          <w:rFonts w:hint="eastAsia"/>
        </w:rPr>
        <w:t>款）</w:t>
      </w:r>
    </w:p>
    <w:p w14:paraId="13541159" w14:textId="674C6E02" w:rsidR="00776376" w:rsidRDefault="005B7B51" w:rsidP="00F517D9">
      <w:pPr>
        <w:pStyle w:val="BodyText"/>
        <w:numPr>
          <w:ilvl w:val="0"/>
          <w:numId w:val="18"/>
        </w:numPr>
        <w:autoSpaceDE w:val="0"/>
        <w:autoSpaceDN w:val="0"/>
        <w:ind w:right="545"/>
      </w:pPr>
      <w:r>
        <w:rPr>
          <w:rFonts w:hint="eastAsia"/>
        </w:rPr>
        <w:t>一般来说，如果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此前没有讨论过草案中的问题，则不应在起草会议上提出草案。</w:t>
      </w:r>
    </w:p>
    <w:p w14:paraId="28B294F7" w14:textId="45F2E2C2" w:rsidR="003A1AB7" w:rsidRDefault="00BC3F36" w:rsidP="00F517D9">
      <w:pPr>
        <w:pStyle w:val="BodyText"/>
        <w:numPr>
          <w:ilvl w:val="0"/>
          <w:numId w:val="18"/>
        </w:numPr>
        <w:autoSpaceDE w:val="0"/>
        <w:autoSpaceDN w:val="0"/>
        <w:ind w:right="545"/>
      </w:pPr>
      <w:r>
        <w:rPr>
          <w:rFonts w:hint="eastAsia"/>
        </w:rPr>
        <w:t>就这次会议而言，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成员将可以访问公报草案的</w:t>
      </w:r>
      <w:r>
        <w:rPr>
          <w:rFonts w:hint="eastAsia"/>
        </w:rPr>
        <w:t xml:space="preserve"> Google </w:t>
      </w:r>
      <w:r>
        <w:rPr>
          <w:rFonts w:hint="eastAsia"/>
        </w:rPr>
        <w:t>文档版本，他们可以在线编辑草案，然后在全体会议上进行审核。</w:t>
      </w:r>
    </w:p>
    <w:p w14:paraId="1D48DB79" w14:textId="77777777" w:rsidR="00E15459" w:rsidRDefault="00E15459" w:rsidP="00F517D9">
      <w:pPr>
        <w:pStyle w:val="Heading2"/>
        <w:autoSpaceDE w:val="0"/>
        <w:autoSpaceDN w:val="0"/>
      </w:pPr>
      <w:bookmarkStart w:id="1" w:name="_Hlk484433727"/>
    </w:p>
    <w:p w14:paraId="0A190E78" w14:textId="636B0FC5" w:rsidR="00E15459" w:rsidRDefault="00E15459" w:rsidP="00F517D9">
      <w:pPr>
        <w:pStyle w:val="Heading2"/>
        <w:autoSpaceDE w:val="0"/>
        <w:autoSpaceDN w:val="0"/>
      </w:pPr>
      <w:r>
        <w:rPr>
          <w:rFonts w:hint="eastAsia"/>
        </w:rPr>
        <w:t>文档管理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15459" w:rsidRPr="003F43E3" w14:paraId="5AF9ECC9" w14:textId="77777777" w:rsidTr="00D27E64">
        <w:tc>
          <w:tcPr>
            <w:tcW w:w="3261" w:type="dxa"/>
            <w:vAlign w:val="center"/>
          </w:tcPr>
          <w:p w14:paraId="7E4CC06C" w14:textId="77777777" w:rsidR="00E15459" w:rsidRPr="003F43E3" w:rsidRDefault="00E15459" w:rsidP="00F517D9">
            <w:pPr>
              <w:autoSpaceDE w:val="0"/>
              <w:autoSpaceDN w:val="0"/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标题</w:t>
            </w:r>
          </w:p>
        </w:tc>
        <w:tc>
          <w:tcPr>
            <w:tcW w:w="5811" w:type="dxa"/>
            <w:vAlign w:val="center"/>
          </w:tcPr>
          <w:p w14:paraId="617EDD3A" w14:textId="0176AFB0" w:rsidR="00E15459" w:rsidRPr="00EA3A02" w:rsidRDefault="00E15459" w:rsidP="00F517D9">
            <w:pPr>
              <w:autoSpaceDE w:val="0"/>
              <w:autoSpaceDN w:val="0"/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公报起草</w:t>
            </w:r>
          </w:p>
        </w:tc>
      </w:tr>
      <w:tr w:rsidR="00E15459" w:rsidRPr="003F43E3" w14:paraId="6D5C3D47" w14:textId="77777777" w:rsidTr="00D27E64">
        <w:tc>
          <w:tcPr>
            <w:tcW w:w="3261" w:type="dxa"/>
            <w:vAlign w:val="center"/>
          </w:tcPr>
          <w:p w14:paraId="4CC45D6D" w14:textId="77777777" w:rsidR="00E15459" w:rsidRPr="003F43E3" w:rsidRDefault="00E15459" w:rsidP="00F517D9">
            <w:pPr>
              <w:autoSpaceDE w:val="0"/>
              <w:autoSpaceDN w:val="0"/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分发对象</w:t>
            </w:r>
          </w:p>
        </w:tc>
        <w:tc>
          <w:tcPr>
            <w:tcW w:w="5811" w:type="dxa"/>
            <w:vAlign w:val="center"/>
          </w:tcPr>
          <w:p w14:paraId="244104A7" w14:textId="77777777" w:rsidR="00E15459" w:rsidRPr="003F43E3" w:rsidRDefault="00E15459" w:rsidP="00F517D9">
            <w:pPr>
              <w:autoSpaceDE w:val="0"/>
              <w:autoSpaceDN w:val="0"/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hint="eastAsia"/>
                <w:sz w:val="20"/>
                <w:szCs w:val="20"/>
              </w:rPr>
              <w:t>GAC</w:t>
            </w:r>
            <w:proofErr w:type="spellEnd"/>
            <w:r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>成员</w:t>
            </w:r>
          </w:p>
        </w:tc>
      </w:tr>
      <w:tr w:rsidR="00E15459" w:rsidRPr="003F43E3" w14:paraId="5BBD5348" w14:textId="77777777" w:rsidTr="00D27E64">
        <w:tc>
          <w:tcPr>
            <w:tcW w:w="3261" w:type="dxa"/>
            <w:vAlign w:val="center"/>
          </w:tcPr>
          <w:p w14:paraId="06A7B8FE" w14:textId="77777777" w:rsidR="00E15459" w:rsidRPr="003F43E3" w:rsidRDefault="00E15459" w:rsidP="00F517D9">
            <w:pPr>
              <w:autoSpaceDE w:val="0"/>
              <w:autoSpaceDN w:val="0"/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分发日期</w:t>
            </w:r>
          </w:p>
        </w:tc>
        <w:tc>
          <w:tcPr>
            <w:tcW w:w="5811" w:type="dxa"/>
            <w:vAlign w:val="center"/>
          </w:tcPr>
          <w:p w14:paraId="6B70A6D6" w14:textId="4B707C06" w:rsidR="00E15459" w:rsidRPr="003F43E3" w:rsidRDefault="00D101DC" w:rsidP="00F517D9">
            <w:pPr>
              <w:autoSpaceDE w:val="0"/>
              <w:autoSpaceDN w:val="0"/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2018 </w:t>
            </w:r>
            <w:r>
              <w:rPr>
                <w:rFonts w:ascii="Century Gothic" w:hAnsi="Century Gothic" w:hint="eastAsia"/>
                <w:sz w:val="20"/>
                <w:szCs w:val="20"/>
              </w:rPr>
              <w:t>年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>
              <w:rPr>
                <w:rFonts w:ascii="Century Gothic" w:hAnsi="Century Gothic" w:hint="eastAsia"/>
                <w:sz w:val="20"/>
                <w:szCs w:val="20"/>
              </w:rPr>
              <w:t>月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7 </w:t>
            </w:r>
            <w:r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</w:tc>
      </w:tr>
      <w:bookmarkEnd w:id="1"/>
    </w:tbl>
    <w:p w14:paraId="33DD9A1F" w14:textId="0FB73C68" w:rsidR="005B7B51" w:rsidRDefault="005B7B51" w:rsidP="00F517D9">
      <w:pPr>
        <w:pStyle w:val="BodyText"/>
        <w:autoSpaceDE w:val="0"/>
        <w:autoSpaceDN w:val="0"/>
        <w:ind w:right="545"/>
      </w:pPr>
    </w:p>
    <w:sectPr w:rsidR="005B7B51" w:rsidSect="007A174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2A53D" w14:textId="77777777" w:rsidR="00AD0F23" w:rsidRDefault="00AD0F23" w:rsidP="00A24449">
      <w:r>
        <w:separator/>
      </w:r>
    </w:p>
  </w:endnote>
  <w:endnote w:type="continuationSeparator" w:id="0">
    <w:p w14:paraId="37C3C2CA" w14:textId="77777777" w:rsidR="00AD0F23" w:rsidRDefault="00AD0F23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BFA9" w14:textId="2A104A70" w:rsidR="00776376" w:rsidRDefault="00776376" w:rsidP="002276FD">
    <w:pPr>
      <w:pStyle w:val="Footer"/>
      <w:ind w:left="-567" w:right="261"/>
    </w:pPr>
  </w:p>
  <w:p w14:paraId="1F6A8333" w14:textId="47F8ACF7" w:rsidR="00776376" w:rsidRPr="00B026C8" w:rsidRDefault="00776376" w:rsidP="00E15459">
    <w:pPr>
      <w:pBdr>
        <w:top w:val="single" w:sz="18" w:space="1" w:color="1F497D"/>
      </w:pBdr>
      <w:spacing w:before="240"/>
      <w:ind w:right="545"/>
      <w:rPr>
        <w:rFonts w:ascii="Century Gothic" w:hAnsi="Century Gothic"/>
        <w:color w:val="00408E"/>
      </w:rPr>
    </w:pPr>
    <w:r>
      <w:rPr>
        <w:rFonts w:ascii="Century Gothic" w:hAnsi="Century Gothic" w:hint="eastAsia"/>
        <w:color w:val="00408E"/>
        <w:sz w:val="16"/>
        <w:szCs w:val="16"/>
      </w:rPr>
      <w:t xml:space="preserve">       </w:t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  <w:t xml:space="preserve">      </w:t>
    </w:r>
    <w:r>
      <w:rPr>
        <w:rFonts w:ascii="Century Gothic" w:hAnsi="Century Gothic" w:hint="eastAsia"/>
        <w:color w:val="00408E"/>
        <w:sz w:val="16"/>
        <w:szCs w:val="16"/>
      </w:rPr>
      <w:tab/>
      <w:t xml:space="preserve">                </w:t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>
      <w:rPr>
        <w:rFonts w:ascii="Century Gothic" w:hAnsi="Century Gothic" w:hint="eastAsia"/>
        <w:color w:val="00408E"/>
        <w:sz w:val="16"/>
        <w:szCs w:val="16"/>
      </w:rPr>
      <w:tab/>
    </w:r>
    <w:r w:rsidR="00F517D9">
      <w:rPr>
        <w:rFonts w:ascii="Century Gothic" w:hAnsi="Century Gothic"/>
        <w:color w:val="00408E"/>
        <w:sz w:val="16"/>
        <w:szCs w:val="16"/>
      </w:rPr>
      <w:t xml:space="preserve">            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>第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Pr="00B026C8">
      <w:rPr>
        <w:rFonts w:ascii="Century Gothic" w:hAnsi="Century Gothic" w:hint="eastAsia"/>
        <w:color w:val="00408E"/>
        <w:sz w:val="16"/>
        <w:szCs w:val="16"/>
      </w:rPr>
      <w:instrText xml:space="preserve"> PAGE </w:instrTex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4E28DA">
      <w:rPr>
        <w:rFonts w:ascii="Century Gothic" w:hAnsi="Century Gothic" w:hint="eastAsia"/>
        <w:color w:val="00408E"/>
        <w:sz w:val="16"/>
        <w:szCs w:val="16"/>
      </w:rPr>
      <w:t>1</w: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>
      <w:rPr>
        <w:rFonts w:ascii="Century Gothic" w:hAnsi="Century Gothic" w:hint="eastAsia"/>
        <w:color w:val="00408E"/>
        <w:sz w:val="16"/>
        <w:szCs w:val="16"/>
      </w:rPr>
      <w:t>页，共</w:t>
    </w:r>
    <w:r>
      <w:rPr>
        <w:rFonts w:ascii="Century Gothic" w:hAnsi="Century Gothic" w:hint="eastAsia"/>
        <w:color w:val="00408E"/>
        <w:sz w:val="16"/>
        <w:szCs w:val="16"/>
      </w:rPr>
      <w:t xml:space="preserve"> </w: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begin"/>
    </w:r>
    <w:r w:rsidRPr="00B026C8">
      <w:rPr>
        <w:rFonts w:ascii="Century Gothic" w:hAnsi="Century Gothic" w:hint="eastAsia"/>
        <w:color w:val="00408E"/>
        <w:sz w:val="16"/>
        <w:szCs w:val="16"/>
      </w:rPr>
      <w:instrText xml:space="preserve"> NUMPAGES  </w:instrTex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separate"/>
    </w:r>
    <w:r w:rsidR="004E28DA">
      <w:rPr>
        <w:rFonts w:ascii="Century Gothic" w:hAnsi="Century Gothic" w:hint="eastAsia"/>
        <w:color w:val="00408E"/>
        <w:sz w:val="16"/>
        <w:szCs w:val="16"/>
      </w:rPr>
      <w:t>1</w:t>
    </w:r>
    <w:r w:rsidRPr="00B026C8">
      <w:rPr>
        <w:rFonts w:ascii="Century Gothic" w:hAnsi="Century Gothic" w:hint="eastAsia"/>
        <w:color w:val="00408E"/>
        <w:sz w:val="16"/>
        <w:szCs w:val="16"/>
      </w:rPr>
      <w:fldChar w:fldCharType="end"/>
    </w:r>
    <w:r>
      <w:rPr>
        <w:rFonts w:hint="eastAsia"/>
      </w:rPr>
      <w:t xml:space="preserve"> </w:t>
    </w:r>
    <w:r w:rsidRPr="00F517D9">
      <w:rPr>
        <w:rFonts w:ascii="Century Gothic" w:hAnsi="Century Gothic" w:hint="eastAsia"/>
        <w:color w:val="00408E"/>
        <w:sz w:val="16"/>
        <w:szCs w:val="16"/>
      </w:rPr>
      <w:t>页</w:t>
    </w:r>
  </w:p>
  <w:p w14:paraId="5437F5F8" w14:textId="77777777" w:rsidR="00776376" w:rsidRPr="000C0FD7" w:rsidRDefault="00776376" w:rsidP="003D7A8D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29D5" w14:textId="77777777" w:rsidR="00776376" w:rsidRPr="00C2562C" w:rsidRDefault="00776376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776376" w:rsidRPr="00B026C8" w:rsidRDefault="00776376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203 Drummond Street, Carlton VIC 3053 </w:t>
    </w:r>
  </w:p>
  <w:p w14:paraId="43F9FA24" w14:textId="77777777" w:rsidR="00776376" w:rsidRPr="00B026C8" w:rsidRDefault="00776376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>03 9650 7222</w:t>
    </w:r>
  </w:p>
  <w:p w14:paraId="67FE17A9" w14:textId="77777777" w:rsidR="00776376" w:rsidRPr="00B026C8" w:rsidRDefault="00776376" w:rsidP="00740F60">
    <w:pPr>
      <w:pStyle w:val="NoSpacing"/>
      <w:ind w:right="544"/>
      <w:jc w:val="right"/>
      <w:rPr>
        <w:sz w:val="16"/>
        <w:szCs w:val="16"/>
      </w:rPr>
    </w:pPr>
    <w:proofErr w:type="spellStart"/>
    <w:r>
      <w:rPr>
        <w:rFonts w:hint="eastAsia"/>
        <w:sz w:val="16"/>
        <w:szCs w:val="16"/>
      </w:rPr>
      <w:t>www.acig.com.au</w:t>
    </w:r>
    <w:proofErr w:type="spellEnd"/>
    <w:r>
      <w:rPr>
        <w:rFonts w:hint="eastAsia"/>
        <w:sz w:val="16"/>
        <w:szCs w:val="16"/>
      </w:rPr>
      <w:t xml:space="preserve"> </w:t>
    </w:r>
  </w:p>
  <w:p w14:paraId="19DE8D68" w14:textId="77777777" w:rsidR="00776376" w:rsidRDefault="00776376" w:rsidP="003D7A8D">
    <w:pPr>
      <w:pStyle w:val="Footer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9FCC" w14:textId="77777777" w:rsidR="00AD0F23" w:rsidRDefault="00AD0F23" w:rsidP="00A24449">
      <w:r>
        <w:separator/>
      </w:r>
    </w:p>
  </w:footnote>
  <w:footnote w:type="continuationSeparator" w:id="0">
    <w:p w14:paraId="340AAD8E" w14:textId="77777777" w:rsidR="00AD0F23" w:rsidRDefault="00AD0F23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CD3B" w14:textId="7BE8E24E" w:rsidR="00776376" w:rsidRDefault="00F517D9" w:rsidP="002276FD">
    <w:pPr>
      <w:pStyle w:val="Header"/>
      <w:tabs>
        <w:tab w:val="clear" w:pos="4680"/>
        <w:tab w:val="clear" w:pos="9360"/>
      </w:tabs>
      <w:ind w:left="7920" w:right="-306" w:firstLine="44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54C7A5D1">
              <wp:simplePos x="0" y="0"/>
              <wp:positionH relativeFrom="column">
                <wp:posOffset>4538663</wp:posOffset>
              </wp:positionH>
              <wp:positionV relativeFrom="paragraph">
                <wp:posOffset>224473</wp:posOffset>
              </wp:positionV>
              <wp:extent cx="1340485" cy="3810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776376" w:rsidRPr="00A12C22" w:rsidRDefault="00776376" w:rsidP="00F517D9">
                          <w:pPr>
                            <w:ind w:left="-142"/>
                            <w:jc w:val="right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>GAC</w:t>
                          </w:r>
                          <w:proofErr w:type="spellEnd"/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>秘书处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4pt;margin-top:17.7pt;width:105.55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" stroked="f">
              <v:textbox>
                <w:txbxContent>
                  <w:p w14:paraId="46E2D9AF" w14:textId="77777777" w:rsidR="00776376" w:rsidRPr="00A12C22" w:rsidRDefault="00776376" w:rsidP="00F517D9">
                    <w:pPr>
                      <w:ind w:left="-142"/>
                      <w:jc w:val="right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>GAC</w:t>
                    </w:r>
                    <w:proofErr w:type="spellEnd"/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>秘书处</w:t>
                    </w:r>
                  </w:p>
                </w:txbxContent>
              </v:textbox>
            </v:shape>
          </w:pict>
        </mc:Fallback>
      </mc:AlternateContent>
    </w:r>
    <w:r w:rsidR="00776376">
      <w:rPr>
        <w:rFonts w:hint="eastAsia"/>
        <w:noProof/>
      </w:rPr>
      <w:drawing>
        <wp:inline distT="0" distB="0" distL="0" distR="0" wp14:anchorId="2EFA62C4" wp14:editId="2E0A314B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6376"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697E" w14:textId="77777777" w:rsidR="00776376" w:rsidRDefault="00776376" w:rsidP="00C2562C">
    <w:pPr>
      <w:pStyle w:val="Header"/>
      <w:tabs>
        <w:tab w:val="clear" w:pos="9360"/>
      </w:tabs>
      <w:ind w:left="-851"/>
      <w:jc w:val="center"/>
    </w:pPr>
    <w:r>
      <w:rPr>
        <w:rFonts w:hint="eastAsia"/>
        <w:noProof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10C2"/>
    <w:multiLevelType w:val="hybridMultilevel"/>
    <w:tmpl w:val="0FF220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1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C"/>
    <w:rsid w:val="00017DDB"/>
    <w:rsid w:val="00023512"/>
    <w:rsid w:val="0002714F"/>
    <w:rsid w:val="000328A2"/>
    <w:rsid w:val="00083BC8"/>
    <w:rsid w:val="000964B7"/>
    <w:rsid w:val="000966BB"/>
    <w:rsid w:val="000B4BF2"/>
    <w:rsid w:val="000C0FD7"/>
    <w:rsid w:val="000C5167"/>
    <w:rsid w:val="000C6B2E"/>
    <w:rsid w:val="00130A75"/>
    <w:rsid w:val="001577F4"/>
    <w:rsid w:val="0016195D"/>
    <w:rsid w:val="001B337F"/>
    <w:rsid w:val="002110FA"/>
    <w:rsid w:val="00215B49"/>
    <w:rsid w:val="002276FD"/>
    <w:rsid w:val="00250279"/>
    <w:rsid w:val="0025104A"/>
    <w:rsid w:val="00262ACB"/>
    <w:rsid w:val="00273354"/>
    <w:rsid w:val="002A3393"/>
    <w:rsid w:val="002B76B7"/>
    <w:rsid w:val="002F7386"/>
    <w:rsid w:val="00327A1A"/>
    <w:rsid w:val="003308BB"/>
    <w:rsid w:val="003401B4"/>
    <w:rsid w:val="00355523"/>
    <w:rsid w:val="003643C4"/>
    <w:rsid w:val="003644DC"/>
    <w:rsid w:val="00364F2E"/>
    <w:rsid w:val="003961C1"/>
    <w:rsid w:val="003A1AB7"/>
    <w:rsid w:val="003A610B"/>
    <w:rsid w:val="003A704B"/>
    <w:rsid w:val="003D7A8D"/>
    <w:rsid w:val="00400344"/>
    <w:rsid w:val="004052F8"/>
    <w:rsid w:val="00406CEE"/>
    <w:rsid w:val="00412A64"/>
    <w:rsid w:val="00412F34"/>
    <w:rsid w:val="00416093"/>
    <w:rsid w:val="004256A5"/>
    <w:rsid w:val="00454CBD"/>
    <w:rsid w:val="00482610"/>
    <w:rsid w:val="004837E2"/>
    <w:rsid w:val="00492E56"/>
    <w:rsid w:val="004A58B8"/>
    <w:rsid w:val="004D747F"/>
    <w:rsid w:val="004E22C7"/>
    <w:rsid w:val="004E2498"/>
    <w:rsid w:val="004E28DA"/>
    <w:rsid w:val="0051347B"/>
    <w:rsid w:val="00577F86"/>
    <w:rsid w:val="00580A87"/>
    <w:rsid w:val="005B7B51"/>
    <w:rsid w:val="005E2917"/>
    <w:rsid w:val="00624AEC"/>
    <w:rsid w:val="00652018"/>
    <w:rsid w:val="006735F6"/>
    <w:rsid w:val="0067792E"/>
    <w:rsid w:val="00683C6C"/>
    <w:rsid w:val="00700CF9"/>
    <w:rsid w:val="00722431"/>
    <w:rsid w:val="0072423D"/>
    <w:rsid w:val="00731C3E"/>
    <w:rsid w:val="00740F60"/>
    <w:rsid w:val="007670C2"/>
    <w:rsid w:val="00776376"/>
    <w:rsid w:val="007A174E"/>
    <w:rsid w:val="007D32B7"/>
    <w:rsid w:val="007F06BF"/>
    <w:rsid w:val="007F5CD3"/>
    <w:rsid w:val="00815A76"/>
    <w:rsid w:val="00817EAC"/>
    <w:rsid w:val="008246F4"/>
    <w:rsid w:val="00854588"/>
    <w:rsid w:val="008822A3"/>
    <w:rsid w:val="00882354"/>
    <w:rsid w:val="00896848"/>
    <w:rsid w:val="008B2849"/>
    <w:rsid w:val="008C4F95"/>
    <w:rsid w:val="009123B6"/>
    <w:rsid w:val="0099631A"/>
    <w:rsid w:val="009C77A8"/>
    <w:rsid w:val="00A07882"/>
    <w:rsid w:val="00A12C22"/>
    <w:rsid w:val="00A24449"/>
    <w:rsid w:val="00A40DB0"/>
    <w:rsid w:val="00A55D0C"/>
    <w:rsid w:val="00A660EB"/>
    <w:rsid w:val="00A779C6"/>
    <w:rsid w:val="00A86B36"/>
    <w:rsid w:val="00AA0126"/>
    <w:rsid w:val="00AB26F7"/>
    <w:rsid w:val="00AC5490"/>
    <w:rsid w:val="00AC54BB"/>
    <w:rsid w:val="00AD0F23"/>
    <w:rsid w:val="00AD1076"/>
    <w:rsid w:val="00B026C8"/>
    <w:rsid w:val="00B21330"/>
    <w:rsid w:val="00B22FE8"/>
    <w:rsid w:val="00B72D49"/>
    <w:rsid w:val="00BA0533"/>
    <w:rsid w:val="00BC1F15"/>
    <w:rsid w:val="00BC3F36"/>
    <w:rsid w:val="00BE60A1"/>
    <w:rsid w:val="00C04226"/>
    <w:rsid w:val="00C114D4"/>
    <w:rsid w:val="00C144AE"/>
    <w:rsid w:val="00C21952"/>
    <w:rsid w:val="00C2562C"/>
    <w:rsid w:val="00C26F6D"/>
    <w:rsid w:val="00C3454E"/>
    <w:rsid w:val="00C50C2C"/>
    <w:rsid w:val="00C74517"/>
    <w:rsid w:val="00C9701E"/>
    <w:rsid w:val="00CC79EF"/>
    <w:rsid w:val="00CD30A8"/>
    <w:rsid w:val="00CD57F8"/>
    <w:rsid w:val="00CF0606"/>
    <w:rsid w:val="00CF4236"/>
    <w:rsid w:val="00CF4E9A"/>
    <w:rsid w:val="00D01CBD"/>
    <w:rsid w:val="00D049CB"/>
    <w:rsid w:val="00D07C27"/>
    <w:rsid w:val="00D101DC"/>
    <w:rsid w:val="00D17FF3"/>
    <w:rsid w:val="00D41280"/>
    <w:rsid w:val="00D5733E"/>
    <w:rsid w:val="00D57B30"/>
    <w:rsid w:val="00D86EA8"/>
    <w:rsid w:val="00D9442D"/>
    <w:rsid w:val="00DA436F"/>
    <w:rsid w:val="00DA46B6"/>
    <w:rsid w:val="00DB2F1E"/>
    <w:rsid w:val="00DD2C34"/>
    <w:rsid w:val="00DE621B"/>
    <w:rsid w:val="00DE781A"/>
    <w:rsid w:val="00DF0C5D"/>
    <w:rsid w:val="00DF5B00"/>
    <w:rsid w:val="00E016F8"/>
    <w:rsid w:val="00E15459"/>
    <w:rsid w:val="00E248DA"/>
    <w:rsid w:val="00E3060B"/>
    <w:rsid w:val="00E57BDD"/>
    <w:rsid w:val="00E7196B"/>
    <w:rsid w:val="00E9134A"/>
    <w:rsid w:val="00EA3A02"/>
    <w:rsid w:val="00EC3C37"/>
    <w:rsid w:val="00EE2665"/>
    <w:rsid w:val="00F21D6A"/>
    <w:rsid w:val="00F42A85"/>
    <w:rsid w:val="00F4462E"/>
    <w:rsid w:val="00F46F4F"/>
    <w:rsid w:val="00F517D9"/>
    <w:rsid w:val="00F96D2C"/>
    <w:rsid w:val="00F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BF6DA"/>
  <w15:docId w15:val="{AA5FD52E-6677-4A99-BD22-E4DEE43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SimSun" w:hAnsi="Century Gothic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CEE"/>
    <w:rPr>
      <w:rFonts w:ascii="Calibri" w:hAnsi="Calibri"/>
      <w:sz w:val="24"/>
      <w:szCs w:val="24"/>
      <w:lang w:val="en-US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15459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5459"/>
    <w:rPr>
      <w:b/>
      <w:color w:val="1F4E79" w:themeColor="accent1" w:themeShade="80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eastAsia="SimSun" w:hAnsi="Century Gothic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hAnsi="Century Gothic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eastAsia="SimSun" w:hAnsi="Century Gothic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en-AU" w:eastAsia="zh-CN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E22C7"/>
    <w:rPr>
      <w:szCs w:val="22"/>
      <w:lang w:val="en-AU"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n-AU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en-AU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SimSu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9CB5-661E-4A52-938C-5EC4978F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619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Anther</cp:lastModifiedBy>
  <cp:revision>8</cp:revision>
  <cp:lastPrinted>2018-06-21T08:48:00Z</cp:lastPrinted>
  <dcterms:created xsi:type="dcterms:W3CDTF">2018-06-05T00:47:00Z</dcterms:created>
  <dcterms:modified xsi:type="dcterms:W3CDTF">2018-06-21T08:48:00Z</dcterms:modified>
</cp:coreProperties>
</file>